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3426"/>
        <w:gridCol w:w="3262"/>
        <w:gridCol w:w="1759"/>
      </w:tblGrid>
      <w:tr w:rsidR="00DB1CB8">
        <w:trPr>
          <w:trHeight w:val="690"/>
        </w:trPr>
        <w:tc>
          <w:tcPr>
            <w:tcW w:w="2307" w:type="dxa"/>
            <w:vMerge w:val="restart"/>
          </w:tcPr>
          <w:p w:rsidR="00DB1CB8" w:rsidRDefault="00DB1CB8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DB1CB8" w:rsidRDefault="009218C1">
            <w:pPr>
              <w:pStyle w:val="TableParagraph"/>
              <w:ind w:left="3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001128" cy="868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28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gridSpan w:val="3"/>
          </w:tcPr>
          <w:p w:rsidR="00DB1CB8" w:rsidRDefault="009218C1">
            <w:pPr>
              <w:pStyle w:val="TableParagraph"/>
              <w:spacing w:line="256" w:lineRule="exact"/>
              <w:ind w:left="1625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FUNDAÇÃO SAÚDE DO ESTADO DO RIO DE JANEIRO</w:t>
            </w:r>
          </w:p>
          <w:p w:rsidR="00DB1CB8" w:rsidRDefault="009218C1">
            <w:pPr>
              <w:pStyle w:val="TableParagraph"/>
              <w:ind w:left="2388" w:right="2948" w:firstLine="9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Gerencia de Serviços Coordenação de Engenharia Clínica</w:t>
            </w:r>
          </w:p>
        </w:tc>
      </w:tr>
      <w:tr w:rsidR="00DB1CB8">
        <w:trPr>
          <w:trHeight w:val="938"/>
        </w:trPr>
        <w:tc>
          <w:tcPr>
            <w:tcW w:w="2307" w:type="dxa"/>
            <w:vMerge/>
            <w:tcBorders>
              <w:top w:val="nil"/>
            </w:tcBorders>
          </w:tcPr>
          <w:p w:rsidR="00DB1CB8" w:rsidRDefault="00DB1CB8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DB1CB8" w:rsidRDefault="00DB1CB8">
            <w:pPr>
              <w:pStyle w:val="TableParagraph"/>
              <w:rPr>
                <w:rFonts w:ascii="Times New Roman"/>
                <w:sz w:val="20"/>
              </w:rPr>
            </w:pPr>
          </w:p>
          <w:p w:rsidR="00DB1CB8" w:rsidRDefault="009218C1">
            <w:pPr>
              <w:pStyle w:val="TableParagraph"/>
              <w:spacing w:before="1"/>
              <w:ind w:left="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Elaboração</w:t>
            </w:r>
          </w:p>
          <w:p w:rsidR="00DB1CB8" w:rsidRDefault="009218C1">
            <w:pPr>
              <w:pStyle w:val="TableParagraph"/>
              <w:tabs>
                <w:tab w:val="left" w:pos="850"/>
              </w:tabs>
              <w:spacing w:before="16"/>
              <w:ind w:left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Data: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  <w:r>
              <w:rPr>
                <w:rFonts w:ascii="Arial"/>
                <w:sz w:val="18"/>
              </w:rPr>
              <w:t>/_</w:t>
            </w:r>
            <w:r>
              <w:rPr>
                <w:rFonts w:ascii="Arial"/>
                <w:sz w:val="18"/>
                <w:u w:val="single"/>
              </w:rPr>
              <w:t xml:space="preserve">   </w:t>
            </w:r>
            <w:r>
              <w:rPr>
                <w:rFonts w:ascii="Arial"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</w:rPr>
              <w:t>/_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pacing w:val="5"/>
                <w:sz w:val="18"/>
                <w:u w:val="single"/>
              </w:rPr>
              <w:t xml:space="preserve"> </w:t>
            </w:r>
          </w:p>
        </w:tc>
        <w:tc>
          <w:tcPr>
            <w:tcW w:w="3262" w:type="dxa"/>
          </w:tcPr>
          <w:p w:rsidR="00DB1CB8" w:rsidRDefault="00DB1CB8">
            <w:pPr>
              <w:pStyle w:val="TableParagraph"/>
              <w:rPr>
                <w:rFonts w:ascii="Times New Roman"/>
                <w:sz w:val="20"/>
              </w:rPr>
            </w:pPr>
          </w:p>
          <w:p w:rsidR="00DB1CB8" w:rsidRDefault="009218C1">
            <w:pPr>
              <w:pStyle w:val="TableParagraph"/>
              <w:spacing w:before="1"/>
              <w:ind w:lef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Efetivação</w:t>
            </w:r>
          </w:p>
          <w:p w:rsidR="00DB1CB8" w:rsidRDefault="009218C1">
            <w:pPr>
              <w:pStyle w:val="TableParagraph"/>
              <w:tabs>
                <w:tab w:val="left" w:pos="835"/>
              </w:tabs>
              <w:spacing w:before="16"/>
              <w:ind w:left="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Data: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  <w:r>
              <w:rPr>
                <w:rFonts w:ascii="Arial"/>
                <w:sz w:val="18"/>
              </w:rPr>
              <w:t>/_</w:t>
            </w:r>
            <w:r>
              <w:rPr>
                <w:rFonts w:ascii="Arial"/>
                <w:sz w:val="18"/>
                <w:u w:val="single"/>
              </w:rPr>
              <w:t xml:space="preserve">   </w:t>
            </w:r>
            <w:r>
              <w:rPr>
                <w:rFonts w:ascii="Arial"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</w:rPr>
              <w:t>/_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pacing w:val="14"/>
                <w:sz w:val="18"/>
                <w:u w:val="single"/>
              </w:rPr>
              <w:t xml:space="preserve"> </w:t>
            </w:r>
          </w:p>
        </w:tc>
        <w:tc>
          <w:tcPr>
            <w:tcW w:w="1759" w:type="dxa"/>
          </w:tcPr>
          <w:p w:rsidR="00DB1CB8" w:rsidRDefault="00DB1CB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DB1CB8" w:rsidRDefault="009218C1">
            <w:pPr>
              <w:pStyle w:val="TableParagraph"/>
              <w:spacing w:line="226" w:lineRule="exact"/>
              <w:ind w:left="560" w:right="5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Página</w:t>
            </w:r>
          </w:p>
          <w:p w:rsidR="00DB1CB8" w:rsidRDefault="009218C1">
            <w:pPr>
              <w:pStyle w:val="TableParagraph"/>
              <w:spacing w:line="226" w:lineRule="exact"/>
              <w:ind w:left="558" w:right="5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1/ 2</w:t>
            </w:r>
          </w:p>
        </w:tc>
      </w:tr>
      <w:tr w:rsidR="00DB1CB8">
        <w:trPr>
          <w:trHeight w:val="1125"/>
        </w:trPr>
        <w:tc>
          <w:tcPr>
            <w:tcW w:w="2307" w:type="dxa"/>
          </w:tcPr>
          <w:p w:rsidR="00DB1CB8" w:rsidRDefault="009218C1">
            <w:pPr>
              <w:pStyle w:val="TableParagraph"/>
              <w:spacing w:line="209" w:lineRule="exact"/>
              <w:ind w:left="3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 controle</w:t>
            </w:r>
          </w:p>
          <w:p w:rsidR="00DB1CB8" w:rsidRDefault="00DB1CB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1CB8" w:rsidRDefault="009218C1">
            <w:pPr>
              <w:pStyle w:val="TableParagraph"/>
              <w:ind w:left="7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FSEC00000</w:t>
            </w:r>
          </w:p>
        </w:tc>
        <w:tc>
          <w:tcPr>
            <w:tcW w:w="6688" w:type="dxa"/>
            <w:gridSpan w:val="2"/>
          </w:tcPr>
          <w:p w:rsidR="00DB1CB8" w:rsidRDefault="009218C1" w:rsidP="00EB355E">
            <w:pPr>
              <w:pStyle w:val="TableParagraph"/>
              <w:spacing w:line="254" w:lineRule="auto"/>
              <w:ind w:left="907" w:right="313" w:hanging="517"/>
              <w:rPr>
                <w:b/>
                <w:sz w:val="24"/>
              </w:rPr>
            </w:pPr>
            <w:r>
              <w:rPr>
                <w:b/>
                <w:sz w:val="24"/>
              </w:rPr>
              <w:t>VERBA VARIÁ</w:t>
            </w:r>
            <w:r w:rsidR="00EB355E">
              <w:rPr>
                <w:b/>
                <w:sz w:val="24"/>
              </w:rPr>
              <w:t>V</w:t>
            </w:r>
            <w:r w:rsidR="005B7C08">
              <w:rPr>
                <w:b/>
                <w:sz w:val="24"/>
              </w:rPr>
              <w:t xml:space="preserve">EL E ESPECIFICAÇÃO DOS LOTES I </w:t>
            </w:r>
            <w:r>
              <w:rPr>
                <w:b/>
                <w:sz w:val="24"/>
              </w:rPr>
              <w:t>e QUANTITATIVO DO NÚMERO DE EQUIPES</w:t>
            </w:r>
          </w:p>
        </w:tc>
        <w:tc>
          <w:tcPr>
            <w:tcW w:w="1759" w:type="dxa"/>
          </w:tcPr>
          <w:p w:rsidR="00DB1CB8" w:rsidRDefault="009218C1">
            <w:pPr>
              <w:pStyle w:val="TableParagraph"/>
              <w:spacing w:line="186" w:lineRule="exact"/>
              <w:ind w:left="560" w:right="55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Versão</w:t>
            </w:r>
          </w:p>
          <w:p w:rsidR="00DB1CB8" w:rsidRDefault="009218C1">
            <w:pPr>
              <w:pStyle w:val="TableParagraph"/>
              <w:spacing w:line="204" w:lineRule="exact"/>
              <w:ind w:left="560" w:right="5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</w:tbl>
    <w:p w:rsidR="00DB1CB8" w:rsidRDefault="00DB1CB8">
      <w:pPr>
        <w:pStyle w:val="Corpodetexto"/>
        <w:rPr>
          <w:sz w:val="20"/>
        </w:rPr>
      </w:pPr>
    </w:p>
    <w:p w:rsidR="008B7F44" w:rsidRDefault="008B7F44">
      <w:pPr>
        <w:pStyle w:val="Corpodetexto"/>
        <w:rPr>
          <w:sz w:val="20"/>
        </w:rPr>
      </w:pPr>
    </w:p>
    <w:p w:rsidR="00DB1CB8" w:rsidRDefault="00DB1CB8">
      <w:pPr>
        <w:pStyle w:val="Corpodetexto"/>
        <w:spacing w:before="2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5"/>
        <w:gridCol w:w="1702"/>
        <w:gridCol w:w="3259"/>
        <w:gridCol w:w="1413"/>
        <w:gridCol w:w="1278"/>
        <w:gridCol w:w="1569"/>
      </w:tblGrid>
      <w:tr w:rsidR="00DB1CB8">
        <w:trPr>
          <w:trHeight w:val="53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157"/>
              <w:ind w:left="2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LOTE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157"/>
              <w:ind w:left="218" w:right="20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ITEM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157"/>
              <w:ind w:left="482" w:right="4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UNIDADE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157"/>
              <w:ind w:left="1096" w:right="107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LOCALIZAÇÃO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47"/>
              <w:ind w:left="145" w:right="96" w:firstLine="3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VERBA VARIAVEL/MÊS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47"/>
              <w:ind w:left="151" w:right="104" w:firstLine="2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VERBA VARIAL/LOTE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9218C1">
            <w:pPr>
              <w:pStyle w:val="TableParagraph"/>
              <w:spacing w:before="47"/>
              <w:ind w:left="85" w:right="35" w:firstLine="46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VERBA VARIAL/LOTE/ANO</w:t>
            </w:r>
          </w:p>
        </w:tc>
      </w:tr>
      <w:tr w:rsidR="00866B14" w:rsidTr="005F4E7E">
        <w:trPr>
          <w:trHeight w:val="755"/>
        </w:trPr>
        <w:tc>
          <w:tcPr>
            <w:tcW w:w="847" w:type="dxa"/>
            <w:tcBorders>
              <w:top w:val="nil"/>
              <w:right w:val="single" w:sz="4" w:space="0" w:color="000000"/>
            </w:tcBorders>
            <w:vAlign w:val="center"/>
          </w:tcPr>
          <w:p w:rsidR="00866B14" w:rsidRPr="00530E07" w:rsidRDefault="00EB355E" w:rsidP="00530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B14" w:rsidRPr="00530E07" w:rsidRDefault="00866B14" w:rsidP="00530E07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E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B14" w:rsidRPr="00AC0645" w:rsidRDefault="009567DA" w:rsidP="000D794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UPA PENHA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B14" w:rsidRPr="000D7949" w:rsidRDefault="00866B14" w:rsidP="000D794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7949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>Av. Lobo Júnior, 2293 - Penha Circular, Rio de Janeiro - RJ, 21070-061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66B14" w:rsidRDefault="00AA2C23">
            <w:pPr>
              <w:pStyle w:val="TableParagraph"/>
              <w:spacing w:before="159"/>
              <w:ind w:left="77" w:right="577" w:firstLine="40"/>
              <w:rPr>
                <w:sz w:val="18"/>
              </w:rPr>
            </w:pPr>
            <w:r>
              <w:rPr>
                <w:sz w:val="18"/>
              </w:rPr>
              <w:t>R$ 70</w:t>
            </w:r>
            <w:r w:rsidR="00866B14">
              <w:rPr>
                <w:sz w:val="18"/>
              </w:rPr>
              <w:t>.000,00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66B14" w:rsidRPr="00866B14" w:rsidRDefault="00AA2C23" w:rsidP="0086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R$ 7</w:t>
            </w:r>
            <w:r w:rsidR="00866B14">
              <w:rPr>
                <w:sz w:val="18"/>
                <w:szCs w:val="18"/>
              </w:rPr>
              <w:t>0.000,00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</w:tcBorders>
            <w:shd w:val="clear" w:color="auto" w:fill="FDE9D9" w:themeFill="accent6" w:themeFillTint="33"/>
            <w:vAlign w:val="center"/>
          </w:tcPr>
          <w:p w:rsidR="00866B14" w:rsidRPr="00866B14" w:rsidRDefault="00866B14" w:rsidP="0086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  <w:r w:rsidR="00AA2C23">
              <w:rPr>
                <w:sz w:val="18"/>
                <w:szCs w:val="18"/>
              </w:rPr>
              <w:t>840</w:t>
            </w:r>
            <w:r>
              <w:rPr>
                <w:sz w:val="18"/>
                <w:szCs w:val="18"/>
              </w:rPr>
              <w:t>.000,00</w:t>
            </w:r>
          </w:p>
        </w:tc>
      </w:tr>
      <w:tr w:rsidR="00DB1CB8">
        <w:trPr>
          <w:trHeight w:val="616"/>
        </w:trPr>
        <w:tc>
          <w:tcPr>
            <w:tcW w:w="3394" w:type="dxa"/>
            <w:gridSpan w:val="3"/>
            <w:tcBorders>
              <w:left w:val="nil"/>
              <w:bottom w:val="nil"/>
              <w:right w:val="nil"/>
            </w:tcBorders>
          </w:tcPr>
          <w:p w:rsidR="00DB1CB8" w:rsidRDefault="00DB1C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CB8" w:rsidRDefault="00DB1C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B1CB8" w:rsidRDefault="009218C1">
            <w:pPr>
              <w:pStyle w:val="TableParagraph"/>
              <w:ind w:left="1092" w:right="107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TOTAL: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 w:rsidR="00DB1CB8" w:rsidRDefault="009B4546" w:rsidP="001C1B69">
            <w:pPr>
              <w:pStyle w:val="TableParagraph"/>
              <w:spacing w:before="87"/>
              <w:ind w:left="82" w:right="481" w:firstLine="40"/>
              <w:rPr>
                <w:b/>
                <w:sz w:val="18"/>
              </w:rPr>
            </w:pPr>
            <w:r>
              <w:rPr>
                <w:b/>
                <w:color w:val="FFF1CC"/>
                <w:sz w:val="18"/>
              </w:rPr>
              <w:t xml:space="preserve">R$ </w:t>
            </w:r>
            <w:r w:rsidR="00AA2C23">
              <w:rPr>
                <w:b/>
                <w:color w:val="FFF1CC"/>
                <w:sz w:val="18"/>
              </w:rPr>
              <w:t>70</w:t>
            </w:r>
            <w:r w:rsidR="005B7C08">
              <w:rPr>
                <w:b/>
                <w:color w:val="FFF1CC"/>
                <w:sz w:val="18"/>
              </w:rPr>
              <w:t>.000,00</w:t>
            </w:r>
          </w:p>
        </w:tc>
        <w:tc>
          <w:tcPr>
            <w:tcW w:w="127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:rsidR="00DB1CB8" w:rsidRDefault="00BC1D9F" w:rsidP="005B7C08">
            <w:pPr>
              <w:pStyle w:val="TableParagraph"/>
              <w:spacing w:before="87"/>
              <w:ind w:left="237" w:right="186" w:firstLine="336"/>
              <w:rPr>
                <w:b/>
                <w:sz w:val="18"/>
              </w:rPr>
            </w:pPr>
            <w:r>
              <w:rPr>
                <w:b/>
                <w:color w:val="FFF1CC"/>
                <w:sz w:val="18"/>
              </w:rPr>
              <w:t xml:space="preserve">R$ </w:t>
            </w:r>
            <w:r w:rsidR="00AA2C23">
              <w:rPr>
                <w:b/>
                <w:color w:val="FFF1CC"/>
                <w:sz w:val="18"/>
              </w:rPr>
              <w:t>70</w:t>
            </w:r>
            <w:r w:rsidR="005B7C08">
              <w:rPr>
                <w:b/>
                <w:color w:val="FFF1CC"/>
                <w:sz w:val="18"/>
              </w:rPr>
              <w:t>.000,00</w:t>
            </w:r>
          </w:p>
        </w:tc>
        <w:tc>
          <w:tcPr>
            <w:tcW w:w="156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0000"/>
          </w:tcPr>
          <w:p w:rsidR="00DB1CB8" w:rsidRDefault="00DB1C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B1CB8" w:rsidRDefault="00DF4AF7" w:rsidP="001C1B69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color w:val="FFF1CC"/>
                <w:sz w:val="18"/>
              </w:rPr>
              <w:t xml:space="preserve">R$ </w:t>
            </w:r>
            <w:r w:rsidR="00AA2C23">
              <w:rPr>
                <w:b/>
                <w:color w:val="FFF1CC"/>
                <w:sz w:val="18"/>
              </w:rPr>
              <w:t>840</w:t>
            </w:r>
            <w:r w:rsidR="001C1B69">
              <w:rPr>
                <w:b/>
                <w:color w:val="FFF1CC"/>
                <w:sz w:val="18"/>
              </w:rPr>
              <w:t>.000,00</w:t>
            </w:r>
          </w:p>
        </w:tc>
      </w:tr>
    </w:tbl>
    <w:p w:rsidR="004909DF" w:rsidRDefault="004909DF">
      <w:pPr>
        <w:rPr>
          <w:sz w:val="18"/>
        </w:rPr>
      </w:pPr>
    </w:p>
    <w:p w:rsidR="004909DF" w:rsidRPr="004909DF" w:rsidRDefault="004909DF" w:rsidP="004909DF">
      <w:pPr>
        <w:rPr>
          <w:sz w:val="18"/>
        </w:rPr>
      </w:pPr>
    </w:p>
    <w:p w:rsidR="004909DF" w:rsidRDefault="004909DF" w:rsidP="004909DF">
      <w:pPr>
        <w:rPr>
          <w:sz w:val="18"/>
        </w:rPr>
      </w:pPr>
    </w:p>
    <w:p w:rsidR="004909DF" w:rsidRDefault="004909DF" w:rsidP="004909DF">
      <w:pPr>
        <w:spacing w:before="74" w:line="357" w:lineRule="auto"/>
        <w:ind w:left="142" w:right="118" w:hanging="222"/>
        <w:rPr>
          <w:rFonts w:ascii="Times New Roman" w:hAnsi="Times New Roman"/>
          <w:sz w:val="20"/>
        </w:rPr>
      </w:pPr>
      <w:r>
        <w:rPr>
          <w:sz w:val="18"/>
        </w:rPr>
        <w:tab/>
      </w:r>
      <w:r>
        <w:rPr>
          <w:rFonts w:ascii="Times New Roman" w:hAnsi="Times New Roman"/>
          <w:sz w:val="20"/>
        </w:rPr>
        <w:t>*OBS: Os valores previstos para a verba variável contemplarão todos os encargos inerentes exclusivamente para a contratação de peças de reposição e serviços.</w:t>
      </w:r>
    </w:p>
    <w:p w:rsidR="004909DF" w:rsidRDefault="004909DF" w:rsidP="004909DF">
      <w:pPr>
        <w:pStyle w:val="Ttulo1"/>
        <w:spacing w:before="33" w:line="357" w:lineRule="auto"/>
        <w:ind w:left="4553" w:right="658" w:hanging="2379"/>
      </w:pPr>
      <w:r>
        <w:t>As empresas deverão alocar, nas unidades abaixo definidas, Núcleo de Engenharia Clínica (NEC), com as seguintes equipes estimadas:</w:t>
      </w:r>
    </w:p>
    <w:p w:rsidR="004909DF" w:rsidRDefault="004909DF" w:rsidP="004909DF">
      <w:pPr>
        <w:pStyle w:val="Corpodetexto"/>
        <w:spacing w:before="5"/>
        <w:rPr>
          <w:b/>
          <w:sz w:val="36"/>
        </w:rPr>
      </w:pPr>
    </w:p>
    <w:p w:rsidR="004909DF" w:rsidRDefault="004909DF" w:rsidP="00530AC0">
      <w:pPr>
        <w:pStyle w:val="Corpodetexto"/>
        <w:spacing w:line="360" w:lineRule="auto"/>
        <w:ind w:left="1420"/>
        <w:jc w:val="both"/>
        <w:rPr>
          <w:bCs/>
        </w:rPr>
      </w:pPr>
      <w:r w:rsidRPr="00343AA2">
        <w:rPr>
          <w:b/>
          <w:bCs/>
        </w:rPr>
        <w:t>Lote</w:t>
      </w:r>
      <w:r w:rsidRPr="00343AA2">
        <w:rPr>
          <w:b/>
          <w:bCs/>
          <w:spacing w:val="-4"/>
        </w:rPr>
        <w:t xml:space="preserve"> </w:t>
      </w:r>
      <w:r w:rsidR="001C1B69">
        <w:rPr>
          <w:b/>
          <w:bCs/>
        </w:rPr>
        <w:t>1</w:t>
      </w:r>
      <w:r>
        <w:rPr>
          <w:b/>
          <w:bCs/>
        </w:rPr>
        <w:t xml:space="preserve"> – </w:t>
      </w:r>
      <w:r w:rsidRPr="00343AA2">
        <w:rPr>
          <w:bCs/>
        </w:rPr>
        <w:t xml:space="preserve">01 </w:t>
      </w:r>
      <w:r w:rsidRPr="00343AA2">
        <w:rPr>
          <w:bCs/>
          <w:spacing w:val="1"/>
        </w:rPr>
        <w:t>En</w:t>
      </w:r>
      <w:r w:rsidRPr="00343AA2">
        <w:rPr>
          <w:bCs/>
        </w:rPr>
        <w:t>g</w:t>
      </w:r>
      <w:r w:rsidRPr="00343AA2">
        <w:rPr>
          <w:bCs/>
          <w:spacing w:val="-1"/>
        </w:rPr>
        <w:t>e</w:t>
      </w:r>
      <w:r w:rsidRPr="00343AA2">
        <w:rPr>
          <w:bCs/>
          <w:spacing w:val="1"/>
        </w:rPr>
        <w:t>n</w:t>
      </w:r>
      <w:r w:rsidRPr="00343AA2">
        <w:rPr>
          <w:bCs/>
          <w:spacing w:val="2"/>
        </w:rPr>
        <w:t>h</w:t>
      </w:r>
      <w:r w:rsidRPr="00343AA2">
        <w:rPr>
          <w:bCs/>
          <w:spacing w:val="-1"/>
        </w:rPr>
        <w:t>e</w:t>
      </w:r>
      <w:r w:rsidRPr="00343AA2">
        <w:rPr>
          <w:bCs/>
        </w:rPr>
        <w:t>iro</w:t>
      </w:r>
      <w:r w:rsidRPr="00343AA2">
        <w:rPr>
          <w:bCs/>
          <w:spacing w:val="2"/>
        </w:rPr>
        <w:t xml:space="preserve"> </w:t>
      </w:r>
      <w:r w:rsidRPr="00343AA2">
        <w:rPr>
          <w:bCs/>
        </w:rPr>
        <w:t>Clí</w:t>
      </w:r>
      <w:r w:rsidRPr="00343AA2">
        <w:rPr>
          <w:bCs/>
          <w:spacing w:val="1"/>
        </w:rPr>
        <w:t>n</w:t>
      </w:r>
      <w:r w:rsidR="00481059">
        <w:rPr>
          <w:bCs/>
        </w:rPr>
        <w:t xml:space="preserve">ico Exclusivo, </w:t>
      </w:r>
      <w:proofErr w:type="gramStart"/>
      <w:r w:rsidR="00481059">
        <w:rPr>
          <w:bCs/>
        </w:rPr>
        <w:t>01</w:t>
      </w:r>
      <w:r w:rsidRPr="00343AA2">
        <w:rPr>
          <w:bCs/>
          <w:spacing w:val="1"/>
        </w:rPr>
        <w:t xml:space="preserve"> </w:t>
      </w:r>
      <w:r w:rsidRPr="00343AA2">
        <w:rPr>
          <w:bCs/>
          <w:spacing w:val="-1"/>
        </w:rPr>
        <w:t>t</w:t>
      </w:r>
      <w:r w:rsidRPr="00343AA2">
        <w:rPr>
          <w:bCs/>
          <w:spacing w:val="-3"/>
        </w:rPr>
        <w:t>é</w:t>
      </w:r>
      <w:r w:rsidRPr="00343AA2">
        <w:rPr>
          <w:bCs/>
          <w:spacing w:val="-1"/>
        </w:rPr>
        <w:t>c</w:t>
      </w:r>
      <w:r w:rsidRPr="00343AA2">
        <w:rPr>
          <w:bCs/>
          <w:spacing w:val="1"/>
        </w:rPr>
        <w:t>n</w:t>
      </w:r>
      <w:r w:rsidR="00481059">
        <w:rPr>
          <w:bCs/>
        </w:rPr>
        <w:t>ico</w:t>
      </w:r>
      <w:bookmarkStart w:id="0" w:name="_GoBack"/>
      <w:bookmarkEnd w:id="0"/>
      <w:proofErr w:type="gramEnd"/>
      <w:r w:rsidRPr="00343AA2">
        <w:rPr>
          <w:bCs/>
        </w:rPr>
        <w:t>, 01 Assist</w:t>
      </w:r>
      <w:r w:rsidRPr="00343AA2">
        <w:rPr>
          <w:bCs/>
          <w:spacing w:val="-1"/>
        </w:rPr>
        <w:t>e</w:t>
      </w:r>
      <w:r w:rsidRPr="00343AA2">
        <w:rPr>
          <w:bCs/>
          <w:spacing w:val="1"/>
        </w:rPr>
        <w:t>n</w:t>
      </w:r>
      <w:r w:rsidRPr="00343AA2">
        <w:rPr>
          <w:bCs/>
          <w:spacing w:val="-1"/>
        </w:rPr>
        <w:t>t</w:t>
      </w:r>
      <w:r w:rsidRPr="00343AA2">
        <w:rPr>
          <w:bCs/>
        </w:rPr>
        <w:t>e</w:t>
      </w:r>
      <w:r w:rsidRPr="00343AA2">
        <w:rPr>
          <w:bCs/>
          <w:spacing w:val="-3"/>
        </w:rPr>
        <w:t xml:space="preserve"> </w:t>
      </w:r>
      <w:r w:rsidRPr="00343AA2">
        <w:rPr>
          <w:bCs/>
        </w:rPr>
        <w:t>A</w:t>
      </w:r>
      <w:r w:rsidRPr="00343AA2">
        <w:rPr>
          <w:bCs/>
          <w:spacing w:val="6"/>
        </w:rPr>
        <w:t>d</w:t>
      </w:r>
      <w:r w:rsidRPr="00343AA2">
        <w:rPr>
          <w:bCs/>
          <w:spacing w:val="-6"/>
        </w:rPr>
        <w:t>m</w:t>
      </w:r>
      <w:r w:rsidRPr="00343AA2">
        <w:rPr>
          <w:bCs/>
        </w:rPr>
        <w:t>i</w:t>
      </w:r>
      <w:r w:rsidRPr="00343AA2">
        <w:rPr>
          <w:bCs/>
          <w:spacing w:val="1"/>
        </w:rPr>
        <w:t>n</w:t>
      </w:r>
      <w:r w:rsidRPr="00343AA2">
        <w:rPr>
          <w:bCs/>
        </w:rPr>
        <w:t>ist</w:t>
      </w:r>
      <w:r w:rsidRPr="00343AA2">
        <w:rPr>
          <w:bCs/>
          <w:spacing w:val="-1"/>
        </w:rPr>
        <w:t>r</w:t>
      </w:r>
      <w:r w:rsidR="00657561">
        <w:rPr>
          <w:bCs/>
        </w:rPr>
        <w:t>ativa</w:t>
      </w:r>
    </w:p>
    <w:p w:rsidR="004909DF" w:rsidRPr="00343AA2" w:rsidRDefault="003D71C5" w:rsidP="00657561">
      <w:pPr>
        <w:pStyle w:val="Corpodetexto"/>
        <w:spacing w:line="360" w:lineRule="auto"/>
        <w:ind w:left="1420" w:right="1221"/>
        <w:jc w:val="both"/>
        <w:rPr>
          <w:bCs/>
        </w:rPr>
      </w:pPr>
      <w:r>
        <w:rPr>
          <w:bCs/>
        </w:rPr>
        <w:t>.</w:t>
      </w:r>
    </w:p>
    <w:p w:rsidR="004909DF" w:rsidRDefault="004909DF" w:rsidP="00530AC0">
      <w:pPr>
        <w:adjustRightInd w:val="0"/>
        <w:spacing w:line="360" w:lineRule="auto"/>
        <w:ind w:right="-35"/>
        <w:jc w:val="both"/>
        <w:rPr>
          <w:rFonts w:ascii="Times New Roman" w:hAnsi="Times New Roman"/>
          <w:bCs/>
          <w:sz w:val="24"/>
          <w:szCs w:val="24"/>
        </w:rPr>
      </w:pPr>
    </w:p>
    <w:p w:rsidR="004909DF" w:rsidRDefault="004909DF" w:rsidP="004909DF">
      <w:pPr>
        <w:pStyle w:val="Ttulo1"/>
        <w:ind w:left="1867" w:right="2046"/>
        <w:jc w:val="center"/>
      </w:pPr>
      <w:r>
        <w:t>Estas equipes deverão atender todas as unidades descritas em cada lote.</w:t>
      </w:r>
    </w:p>
    <w:p w:rsidR="004909DF" w:rsidRDefault="004909DF" w:rsidP="004909DF">
      <w:pPr>
        <w:spacing w:before="132"/>
        <w:ind w:left="14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Engenheiro Coordenador deverá realizar a interface entre o NEC/Unidades/empresas.</w:t>
      </w:r>
    </w:p>
    <w:p w:rsidR="004909DF" w:rsidRDefault="004909DF" w:rsidP="004909DF">
      <w:pPr>
        <w:pStyle w:val="Corpodetexto"/>
        <w:spacing w:before="1"/>
        <w:rPr>
          <w:b/>
          <w:sz w:val="35"/>
        </w:rPr>
      </w:pPr>
    </w:p>
    <w:p w:rsidR="004909DF" w:rsidRDefault="004909DF" w:rsidP="004909DF">
      <w:pPr>
        <w:spacing w:line="360" w:lineRule="auto"/>
        <w:ind w:left="2438" w:right="80" w:hanging="22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As verbas para peças de reposição e contratação de serviços poderão ser </w:t>
      </w:r>
      <w:proofErr w:type="gramStart"/>
      <w:r>
        <w:rPr>
          <w:rFonts w:ascii="Times New Roman" w:hAnsi="Times New Roman"/>
          <w:b/>
          <w:sz w:val="24"/>
        </w:rPr>
        <w:t>realocados</w:t>
      </w:r>
      <w:proofErr w:type="gramEnd"/>
      <w:r>
        <w:rPr>
          <w:rFonts w:ascii="Times New Roman" w:hAnsi="Times New Roman"/>
          <w:b/>
          <w:sz w:val="24"/>
        </w:rPr>
        <w:t xml:space="preserve"> dentro das unidades de cada lotes, desde que a FUNDAÇÃO SAÚDE autorize previamente.</w:t>
      </w:r>
    </w:p>
    <w:p w:rsidR="004909DF" w:rsidRDefault="004909DF" w:rsidP="004909DF">
      <w:pPr>
        <w:pStyle w:val="Corpodetexto"/>
        <w:rPr>
          <w:b/>
          <w:sz w:val="20"/>
        </w:rPr>
      </w:pPr>
    </w:p>
    <w:p w:rsidR="004909DF" w:rsidRDefault="004909DF" w:rsidP="004909DF">
      <w:pPr>
        <w:pStyle w:val="Corpodetexto"/>
        <w:spacing w:before="6"/>
        <w:rPr>
          <w:b/>
          <w:sz w:val="19"/>
        </w:r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3008"/>
      </w:tblGrid>
      <w:tr w:rsidR="004909DF" w:rsidTr="00B2280E">
        <w:trPr>
          <w:trHeight w:val="230"/>
        </w:trPr>
        <w:tc>
          <w:tcPr>
            <w:tcW w:w="8935" w:type="dxa"/>
            <w:gridSpan w:val="2"/>
          </w:tcPr>
          <w:p w:rsidR="004909DF" w:rsidRDefault="004909DF" w:rsidP="00B2280E">
            <w:pPr>
              <w:pStyle w:val="TableParagraph"/>
              <w:spacing w:line="210" w:lineRule="exact"/>
              <w:ind w:left="3841" w:right="38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Aprovado por</w:t>
            </w:r>
          </w:p>
        </w:tc>
      </w:tr>
      <w:tr w:rsidR="004909DF" w:rsidTr="00B2280E">
        <w:trPr>
          <w:trHeight w:val="251"/>
        </w:trPr>
        <w:tc>
          <w:tcPr>
            <w:tcW w:w="5927" w:type="dxa"/>
          </w:tcPr>
          <w:p w:rsidR="004909DF" w:rsidRDefault="004909DF" w:rsidP="00B2280E">
            <w:pPr>
              <w:pStyle w:val="TableParagraph"/>
              <w:spacing w:line="195" w:lineRule="exact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Vanessa Varial Marinheiro – Gerencia de Serviços</w:t>
            </w:r>
          </w:p>
        </w:tc>
        <w:tc>
          <w:tcPr>
            <w:tcW w:w="3008" w:type="dxa"/>
          </w:tcPr>
          <w:p w:rsidR="004909DF" w:rsidRDefault="004909DF" w:rsidP="00B22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9DF" w:rsidTr="00B2280E">
        <w:trPr>
          <w:trHeight w:val="253"/>
        </w:trPr>
        <w:tc>
          <w:tcPr>
            <w:tcW w:w="5927" w:type="dxa"/>
          </w:tcPr>
          <w:p w:rsidR="004909DF" w:rsidRDefault="004909DF" w:rsidP="00B2280E">
            <w:pPr>
              <w:pStyle w:val="TableParagraph"/>
              <w:spacing w:line="197" w:lineRule="exact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Gilberto Martins – Coordenador de Engenharia Clínica</w:t>
            </w:r>
          </w:p>
        </w:tc>
        <w:tc>
          <w:tcPr>
            <w:tcW w:w="3008" w:type="dxa"/>
          </w:tcPr>
          <w:p w:rsidR="004909DF" w:rsidRDefault="004909DF" w:rsidP="00B22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9DF" w:rsidTr="00B2280E">
        <w:trPr>
          <w:trHeight w:val="254"/>
        </w:trPr>
        <w:tc>
          <w:tcPr>
            <w:tcW w:w="5927" w:type="dxa"/>
          </w:tcPr>
          <w:p w:rsidR="004909DF" w:rsidRDefault="004909DF" w:rsidP="00B2280E">
            <w:pPr>
              <w:pStyle w:val="TableParagraph"/>
              <w:spacing w:line="197" w:lineRule="exact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Roberto de Souza – Especialista em Engenharia Biomédica</w:t>
            </w:r>
          </w:p>
        </w:tc>
        <w:tc>
          <w:tcPr>
            <w:tcW w:w="3008" w:type="dxa"/>
          </w:tcPr>
          <w:p w:rsidR="004909DF" w:rsidRDefault="004909DF" w:rsidP="00B22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1CB8" w:rsidRDefault="00DB1CB8">
      <w:pPr>
        <w:pStyle w:val="Corpodetexto"/>
        <w:spacing w:before="4"/>
        <w:rPr>
          <w:b/>
          <w:sz w:val="17"/>
        </w:rPr>
      </w:pPr>
    </w:p>
    <w:sectPr w:rsidR="00DB1CB8">
      <w:pgSz w:w="11940" w:h="16860"/>
      <w:pgMar w:top="1600" w:right="5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E7F"/>
    <w:rsid w:val="00017B03"/>
    <w:rsid w:val="00086B54"/>
    <w:rsid w:val="000B69F4"/>
    <w:rsid w:val="000D7949"/>
    <w:rsid w:val="00176EF6"/>
    <w:rsid w:val="00182E26"/>
    <w:rsid w:val="001A6B47"/>
    <w:rsid w:val="001C1B69"/>
    <w:rsid w:val="001D5A9B"/>
    <w:rsid w:val="002400D6"/>
    <w:rsid w:val="00343AA2"/>
    <w:rsid w:val="00380CF2"/>
    <w:rsid w:val="003B7780"/>
    <w:rsid w:val="003D71C5"/>
    <w:rsid w:val="00412FD3"/>
    <w:rsid w:val="00413494"/>
    <w:rsid w:val="00481059"/>
    <w:rsid w:val="004909DF"/>
    <w:rsid w:val="00492A2E"/>
    <w:rsid w:val="004A62F8"/>
    <w:rsid w:val="004D14DF"/>
    <w:rsid w:val="004D6ED2"/>
    <w:rsid w:val="00530AC0"/>
    <w:rsid w:val="00530E07"/>
    <w:rsid w:val="0055340F"/>
    <w:rsid w:val="00566C20"/>
    <w:rsid w:val="005B2DAF"/>
    <w:rsid w:val="005B7C08"/>
    <w:rsid w:val="005F4E7E"/>
    <w:rsid w:val="00600F22"/>
    <w:rsid w:val="006437D8"/>
    <w:rsid w:val="00653E53"/>
    <w:rsid w:val="00657561"/>
    <w:rsid w:val="006728C0"/>
    <w:rsid w:val="006D0DFA"/>
    <w:rsid w:val="00737051"/>
    <w:rsid w:val="00793820"/>
    <w:rsid w:val="007A3168"/>
    <w:rsid w:val="007A32C5"/>
    <w:rsid w:val="00826485"/>
    <w:rsid w:val="00866B14"/>
    <w:rsid w:val="00876146"/>
    <w:rsid w:val="008B7F44"/>
    <w:rsid w:val="009218C1"/>
    <w:rsid w:val="00921C8C"/>
    <w:rsid w:val="0094161B"/>
    <w:rsid w:val="00951FEB"/>
    <w:rsid w:val="009567DA"/>
    <w:rsid w:val="009B4546"/>
    <w:rsid w:val="009B624D"/>
    <w:rsid w:val="009E1F02"/>
    <w:rsid w:val="009F3D3C"/>
    <w:rsid w:val="00AA2C23"/>
    <w:rsid w:val="00AB47EC"/>
    <w:rsid w:val="00AC0645"/>
    <w:rsid w:val="00B44017"/>
    <w:rsid w:val="00B7562C"/>
    <w:rsid w:val="00B92ABF"/>
    <w:rsid w:val="00BB50E9"/>
    <w:rsid w:val="00BC12CB"/>
    <w:rsid w:val="00BC1D9F"/>
    <w:rsid w:val="00C57E3D"/>
    <w:rsid w:val="00C86CC9"/>
    <w:rsid w:val="00D1526A"/>
    <w:rsid w:val="00D458BD"/>
    <w:rsid w:val="00D57A2F"/>
    <w:rsid w:val="00DA0B6E"/>
    <w:rsid w:val="00DB1CB8"/>
    <w:rsid w:val="00DB3410"/>
    <w:rsid w:val="00DF4AF7"/>
    <w:rsid w:val="00DF6814"/>
    <w:rsid w:val="00E27229"/>
    <w:rsid w:val="00E33F1E"/>
    <w:rsid w:val="00E551B2"/>
    <w:rsid w:val="00E57D88"/>
    <w:rsid w:val="00EB355E"/>
    <w:rsid w:val="00F01B1B"/>
    <w:rsid w:val="00F1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4380F-C7D3-4005-AF41-D7C69D8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3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3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134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494"/>
    <w:rPr>
      <w:rFonts w:ascii="Segoe UI" w:eastAsia="Calibri" w:hAnsi="Segoe UI" w:cs="Segoe UI"/>
      <w:sz w:val="18"/>
      <w:szCs w:val="18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3D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creator>JOBMED</dc:creator>
  <cp:lastModifiedBy>Roberto Souza</cp:lastModifiedBy>
  <cp:revision>4</cp:revision>
  <cp:lastPrinted>2024-01-10T14:27:00Z</cp:lastPrinted>
  <dcterms:created xsi:type="dcterms:W3CDTF">2024-02-29T19:38:00Z</dcterms:created>
  <dcterms:modified xsi:type="dcterms:W3CDTF">2024-03-08T18:49:00Z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